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Особенности интерьера: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Подвесные потолки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Кухонный гарнитур, столешница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Шкаф в прихожей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Шкафы в санузлах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Стальная входная дверь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Окна  ПВХ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Сантехника 1 класса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Душевая кабина 1 класса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Ламинат 10мм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Общие характеристики: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Система природного газа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Блоки BIMS </w:t>
        <w:br w:type="textWrapping"/>
        <w:t xml:space="preserve">Интеллектуальная лифтовая система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Детектор пожара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Генератор</w:t>
        <w:br w:type="textWrapping"/>
        <w:t xml:space="preserve">Системы видеонаблюдения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Особенности социальной сферы: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Крытый бассейн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Открытый бассейн  (740M2)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Аквапарк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Открытая парковка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Открытая детская игровая площадка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Фитнес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Баня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Баскетбольная, футбольная, волейбольная, теннисная площадки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Детская площадка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Открытая площадка для йоги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Кафе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Хобби – сад для домашних животных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Зона барбекю и отдыха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Автостоянка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Искусственное озеро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Пешеходная зона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Мини-маркет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Конференц-зал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Кинотеатр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Участок площадью 16 000 м2 </w:t>
        <w:br w:type="textWrapping"/>
        <w:t xml:space="preserve">АДА/ПАРСЕЛЬ 12543/1 МЕЗИТЛИ/СОЛИ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MERSIN MARINA:7 КМ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ТОРГОВЫЙ ЦЕНТР SOLI CENTER 1,8 КМ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ТОРГОВЫЙ ЦЕНТР SAYAPARK В 6,5 КМ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ПОБЕРЕЖЬЕ 1.5 КМ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БОЛЬНИЦА 500 М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ШКОЛА 550 М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АВТОСТРАДА:3 КМ</w:t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tl w:val="0"/>
        </w:rPr>
        <w:t xml:space="preserve">УНИВЕРСИТЕТ ТОРОСА 1 КМ, УНИВЕРСИТЕТ МЕРСИНА 7 КМ</w:t>
        <w:br w:type="textWrapping"/>
        <w:br w:type="textWrapping"/>
      </w:r>
      <w:r w:rsidDel="00000000" w:rsidR="00000000" w:rsidRPr="00000000">
        <w:rPr>
          <w:color w:val="ff0000"/>
          <w:rtl w:val="0"/>
        </w:rPr>
        <w:t xml:space="preserve"> (НАЧАЛО ПРОЕКТА: 30.08.2023 КОНЕЦ: 30.08.2026)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br w:type="textWrapping"/>
        <w:t xml:space="preserve">24 МЕСЯЦА РАССРОЧКА </w:t>
        <w:br w:type="textWrapping"/>
        <w:br w:type="textWrapping"/>
        <w:t xml:space="preserve">ПЕРВОНАЧАЛЬНЫЙ ВЗНОС 50%</w:t>
        <w:br w:type="textWrapping"/>
        <w:br w:type="textWrapping"/>
        <w:br w:type="textWrapping"/>
        <w:t xml:space="preserve">СРОК ОКОНЧАНИЯ ПРОЕКТА 36 МЕСЯЦЕВ</w:t>
      </w:r>
    </w:p>
    <w:sectPr>
      <w:pgSz w:h="16838" w:w="11906" w:orient="portrait"/>
      <w:pgMar w:bottom="284" w:top="510" w:left="510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EyOO1HWViNpLSpFeIvxrMMdzA==">CgMxLjA4AHIhMWxIRnEzS3dHY3dkc1RYM1J0dk96TllxZHBfYklwdXZf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2023-05-16T07:19:00Z</dcterms:created>
  <dc:creator>Microsoft Office User</dc:creator>
</cp:coreProperties>
</file>